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cstheme="minorBidi"/>
          <w:bCs/>
          <w:sz w:val="44"/>
          <w:szCs w:val="44"/>
          <w:lang w:val="en-US" w:eastAsia="zh-CN"/>
        </w:rPr>
      </w:pPr>
      <w:r>
        <w:rPr>
          <w:rFonts w:hint="eastAsia" w:ascii="方正小标宋简体" w:eastAsia="方正小标宋简体" w:hAnsiTheme="minorHAnsi" w:cstheme="minorBidi"/>
          <w:bCs/>
          <w:sz w:val="44"/>
          <w:szCs w:val="44"/>
          <w:lang w:val="en-US" w:eastAsia="zh-CN"/>
        </w:rPr>
        <w:t>佛山市人民政府关于</w:t>
      </w:r>
      <w:r>
        <w:rPr>
          <w:rFonts w:hint="eastAsia" w:ascii="方正小标宋简体" w:eastAsia="方正小标宋简体" w:cstheme="minorBidi"/>
          <w:bCs/>
          <w:sz w:val="44"/>
          <w:szCs w:val="44"/>
          <w:lang w:val="en-US" w:eastAsia="zh-CN"/>
        </w:rPr>
        <w:t>废止部分市政府规范性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cstheme="minorBidi"/>
          <w:bCs/>
          <w:sz w:val="44"/>
          <w:szCs w:val="44"/>
          <w:lang w:val="en-US" w:eastAsia="zh-CN"/>
        </w:rPr>
      </w:pPr>
      <w:r>
        <w:rPr>
          <w:rFonts w:hint="eastAsia" w:ascii="方正小标宋简体" w:eastAsia="方正小标宋简体" w:cstheme="minorBidi"/>
          <w:bCs/>
          <w:sz w:val="44"/>
          <w:szCs w:val="44"/>
          <w:lang w:val="en-US" w:eastAsia="zh-CN"/>
        </w:rPr>
        <w:t>文件的决定（第二次征求意见稿）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Times New Roman"/>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Times New Roman"/>
          <w:b w:val="0"/>
          <w:bCs/>
          <w:color w:val="auto"/>
          <w:sz w:val="32"/>
          <w:szCs w:val="32"/>
          <w:lang w:eastAsia="zh-CN"/>
        </w:rPr>
      </w:pPr>
      <w:r>
        <w:rPr>
          <w:rFonts w:hint="eastAsia" w:ascii="仿宋_GB2312" w:hAnsi="仿宋_GB2312" w:eastAsia="仿宋_GB2312" w:cs="Times New Roman"/>
          <w:b w:val="0"/>
          <w:bCs/>
          <w:color w:val="auto"/>
          <w:sz w:val="32"/>
          <w:szCs w:val="32"/>
          <w:lang w:eastAsia="zh-CN"/>
        </w:rPr>
        <w:t>各区人民政府，市政府各部门、直属各机构：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Times New Roman"/>
          <w:b w:val="0"/>
          <w:bCs/>
          <w:color w:val="auto"/>
          <w:sz w:val="32"/>
          <w:szCs w:val="32"/>
          <w:lang w:eastAsia="zh-CN"/>
        </w:rPr>
        <w:t>根据法律法规有关规定、机构改革精神以及行政管理的实际情况，市人民政府组织开展了市政府规文清理。根据《广东省行政规范性文件管理规定》，经清理，市政府决定，废止</w:t>
      </w:r>
      <w:r>
        <w:rPr>
          <w:rFonts w:hint="eastAsia" w:ascii="仿宋_GB2312" w:hAnsi="仿宋_GB2312" w:eastAsia="仿宋_GB2312" w:cs="仿宋_GB2312"/>
          <w:b w:val="0"/>
          <w:bCs/>
          <w:sz w:val="32"/>
          <w:szCs w:val="32"/>
        </w:rPr>
        <w:t>《佛山市实施相对集中行政处罚权暂行规定》（佛山市人民政府令第9号）</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lang w:val="en-US" w:eastAsia="zh-CN"/>
        </w:rPr>
        <w:t>52份市政府（含市政府办公室）规范性文件（详见附件）。凡被废止的市政府规范性文件，自</w:t>
      </w:r>
      <w:r>
        <w:rPr>
          <w:rFonts w:hint="eastAsia" w:ascii="仿宋_GB2312" w:hAnsi="仿宋_GB2312" w:eastAsia="仿宋_GB2312" w:cs="仿宋_GB2312"/>
          <w:b w:val="0"/>
          <w:bCs w:val="0"/>
          <w:color w:val="000000"/>
          <w:sz w:val="32"/>
          <w:szCs w:val="32"/>
          <w:lang w:eastAsia="zh-CN"/>
        </w:rPr>
        <w:t>本决定自公布之日起一律停止执行，</w:t>
      </w:r>
      <w:r>
        <w:rPr>
          <w:rFonts w:hint="eastAsia" w:ascii="仿宋_GB2312" w:hAnsi="仿宋_GB2312" w:eastAsia="仿宋_GB2312" w:cs="仿宋_GB2312"/>
          <w:snapToGrid w:val="0"/>
          <w:color w:val="auto"/>
          <w:sz w:val="32"/>
          <w:szCs w:val="32"/>
          <w:lang w:val="en-US" w:eastAsia="zh-CN"/>
        </w:rPr>
        <w:t>不再作为行政管理的依据。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：废止的佛山市政府规范性文件目录（共52份）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color w:val="auto"/>
          <w:sz w:val="32"/>
          <w:szCs w:val="32"/>
          <w:lang w:val="en-US" w:eastAsia="zh-CN"/>
        </w:rPr>
      </w:pPr>
    </w:p>
    <w:p>
      <w:pPr>
        <w:pStyle w:val="2"/>
        <w:spacing w:line="560" w:lineRule="exact"/>
        <w:rPr>
          <w:rFonts w:hint="eastAsia" w:ascii="黑体" w:hAnsi="黑体" w:eastAsia="黑体" w:cs="黑体"/>
          <w:b w:val="0"/>
          <w:bCs/>
          <w:color w:val="auto"/>
          <w:sz w:val="32"/>
          <w:szCs w:val="32"/>
          <w:lang w:val="en-US" w:eastAsia="zh-CN"/>
        </w:rPr>
      </w:pPr>
    </w:p>
    <w:p>
      <w:pPr>
        <w:pStyle w:val="2"/>
        <w:spacing w:line="560" w:lineRule="exact"/>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bookmarkStart w:id="0" w:name="_GoBack"/>
      <w:bookmarkEnd w:id="0"/>
    </w:p>
    <w:p>
      <w:pPr>
        <w:pStyle w:val="2"/>
        <w:rPr>
          <w:rFonts w:hint="eastAsia" w:ascii="黑体" w:hAnsi="黑体" w:eastAsia="黑体" w:cs="黑体"/>
          <w:b w:val="0"/>
          <w:bCs/>
          <w:color w:val="auto"/>
          <w:sz w:val="32"/>
          <w:szCs w:val="32"/>
          <w:lang w:val="en-US" w:eastAsia="zh-CN"/>
        </w:rPr>
      </w:pPr>
    </w:p>
    <w:p>
      <w:pPr>
        <w:pStyle w:val="2"/>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废止的佛山市政府规范性文件目录（共52份）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Times New Roman"/>
          <w:b w:val="0"/>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《佛山市实施相对集中行政处罚权暂行规定》（佛山市人民政府令第9号）</w:t>
      </w:r>
    </w:p>
    <w:p>
      <w:pPr>
        <w:numPr>
          <w:ilvl w:val="0"/>
          <w:numId w:val="1"/>
        </w:numPr>
        <w:spacing w:line="560" w:lineRule="exact"/>
        <w:ind w:firstLine="640" w:firstLineChars="200"/>
        <w:outlineLvl w:val="9"/>
        <w:rPr>
          <w:rFonts w:hint="eastAsia"/>
          <w:sz w:val="32"/>
          <w:szCs w:val="32"/>
          <w:lang w:val="en-US" w:eastAsia="zh-CN"/>
        </w:rPr>
      </w:pPr>
      <w:r>
        <w:rPr>
          <w:rFonts w:hint="eastAsia" w:ascii="仿宋_GB2312" w:hAnsi="仿宋_GB2312" w:eastAsia="仿宋_GB2312" w:cs="仿宋_GB2312"/>
          <w:sz w:val="32"/>
          <w:szCs w:val="32"/>
        </w:rPr>
        <w:t>《关于印发佛山市市级财政投资建设项目资金监督管理暂行办法的通知》（佛府〔2005〕24号）</w:t>
      </w:r>
    </w:p>
    <w:p>
      <w:pPr>
        <w:numPr>
          <w:ilvl w:val="0"/>
          <w:numId w:val="1"/>
        </w:numPr>
        <w:spacing w:line="560" w:lineRule="exact"/>
        <w:ind w:firstLine="640" w:firstLineChars="200"/>
        <w:outlineLvl w:val="9"/>
        <w:rPr>
          <w:rFonts w:hint="eastAsia"/>
          <w:sz w:val="32"/>
          <w:szCs w:val="32"/>
          <w:lang w:val="en-US" w:eastAsia="zh-CN"/>
        </w:rPr>
      </w:pPr>
      <w:r>
        <w:rPr>
          <w:rFonts w:hint="eastAsia" w:ascii="仿宋_GB2312" w:hAnsi="仿宋_GB2312" w:eastAsia="仿宋_GB2312" w:cs="仿宋_GB2312"/>
          <w:sz w:val="32"/>
          <w:szCs w:val="32"/>
          <w:lang w:val="en-US" w:eastAsia="zh-CN"/>
        </w:rPr>
        <w:t>《转发市人民防空办公室关于加强结合民用建筑修建防空地下室工作意见的通知》（佛府办〔2005〕103号）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《转发市交通局等部门关于佛山市干线公路网项目建设管理办法的通知》（佛府办〔2006〕260号）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《转发市农业局关于加强我市农机安全监理工作的意见的通知》（佛府办〔2006〕295号）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《印发关于推进产品技术标准战略的实施意见及其奖励办法的通知》（佛府办〔2007〕277号）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佛山市政策性能繁母猪保险实施方案（试行）的通知》（佛府办〔2007〕370号）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佛山市生态公益林建设和管理办法</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》（佛府办〔2008〕241号）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《关于划定高明区古椰贝丘遗址保护范围及建设控制地带的公告》（佛府〔2008〕130号）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《印发佛山市开展政策性农业保险试点工作的意见的通知》（佛府办〔2008〕362号）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《印发佛山市猪肉食盐和药品储备管理办法的通知》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佛府办〔2009〕152号</w:t>
      </w:r>
      <w:r>
        <w:rPr>
          <w:rFonts w:hint="eastAsia" w:ascii="仿宋_GB2312" w:hAnsi="仿宋_GB2312" w:cs="仿宋_GB2312"/>
          <w:sz w:val="32"/>
          <w:szCs w:val="32"/>
          <w:lang w:val="en-US" w:eastAsia="zh-CN"/>
        </w:rPr>
        <w:t>）</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《印发佛山市公益性岗位安置就业难人员实施办法的通知》（佛府办〔2009〕179号）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佛山市城镇污水处理特许经营项目管理暂行规定</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》（佛府办〔2009〕213号）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《关于调整工伤职工住院伙食补助费及转外地就医交通食宿费标准的通知》（佛府办函〔2011〕214号）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《印发佛山市信息化建设项目管理暂行办法的通知》（佛府办〔2011〕50号）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《印发关于鼓励制造业企业主辅分离发展现代服务业指导意见的通知》（佛府办〔2011〕120号）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《印发鼓励制造业企业主辅分离发展现代服务业扶持办法的通知》（佛府办〔2011〕121号）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关于加快佛山市现代物流业发展若干意见</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》（佛府办〔2011〕125号）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《印发智慧物流腾飞计划方案的通知》（佛府办〔2011〕126号）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《关于扶持股权投资行业发展的若干意见》（佛府办〔2011〕140号）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《印发佛山一环高速公路管理办法的通知》（佛府办〔2012〕29号）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印发</w:t>
      </w:r>
      <w:r>
        <w:rPr>
          <w:rFonts w:hint="eastAsia" w:ascii="仿宋_GB2312" w:hAnsi="仿宋_GB2312" w:eastAsia="仿宋_GB2312" w:cs="仿宋_GB2312"/>
          <w:sz w:val="32"/>
          <w:szCs w:val="32"/>
          <w:lang w:val="en-US" w:eastAsia="zh-CN"/>
        </w:rPr>
        <w:t>佛山市再生资源回收管理办法</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》（佛府办〔2012〕46号）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《关于调整佛山市汽车销售行业价格调节基金征收标准的通知》（佛府办〔2012〕52号）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《佛山市人民政府办公室关于佛山市加强城镇生活污水厂、印染、造纸污泥污染防治工作的意见》（佛府办〔2012〕80号）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《佛山市人民政府办公室关于修订佛山市企业上市扶持奖励办法的通知》（佛府办〔2012〕84号）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《佛山市人民政府办公室关于修订佛山市商品房预售款监督管理实施办法的通知》（佛府办〔2012〕89号）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《佛山市人民政府办公室关于印发佛山市专利资助办法的通知》（佛府办〔2013〕14号）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《佛山市人民政府关于加快电子商务发展的若干意见》（佛府〔2013〕49号）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《佛山市人民政府办公室关于印发佛山市在用超标电动自行车过渡期管理办法的通知》（佛府办〔2013〕54号）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《佛山市人民政府办公室关于印发佛山市生猪养殖管理办法的通知》（佛府办〔2013〕75号）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《佛山市人民政府办公室关于加快发展佛山市家庭服务业促进就业的实施意见》（佛府办〔2013〕78号）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《佛山市人民政府办公室关于印发佛山市小额贷款公司监督管理细则（试行）的通知》（佛府办〔2013〕85号）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《佛山市人民政府办公室关于印发佛山市小额贷款公司分类管理办法（试行）的通知》（佛府办〔2013〕86号）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《佛山市人民政府办公室关于印发佛山市科技型中小企业信贷风险补偿基金设立方案的通知》（佛府办〔2014〕16号）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《佛山市人民政府办公室关于印发佛山市物业管理办法的通知》（佛府办〔2014〕18号）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《佛山市人民政府办公室关于印发佛山市停车场管理办法的通知》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佛府办〔2014〕21号</w:t>
      </w:r>
      <w:r>
        <w:rPr>
          <w:rFonts w:hint="eastAsia" w:ascii="仿宋_GB2312" w:hAnsi="仿宋_GB2312" w:cs="仿宋_GB2312"/>
          <w:sz w:val="32"/>
          <w:szCs w:val="32"/>
          <w:lang w:val="en-US" w:eastAsia="zh-CN"/>
        </w:rPr>
        <w:t>）</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《佛山市人民政府办公室关于印发佛山市信息惠民融合服务平台管理暂行办法的通知》（佛府办〔2014〕22号）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《佛山市人民政府办公室关于印发佛山市专利资助办法补充规定的通知》（佛府办〔2014〕44号）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《佛山市人民政府办公室关于印发佛山市分布式光伏发电应用项目奖励和补助资金管理办法的通知》（佛府办〔2014〕69号）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《佛山市人民政府办公室关于印发佛山市食品药品违法行为举报奖励办法的通知》（佛府办〔2015〕40号）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《佛山市人民政府办公室关于印发佛山市商标国际注册资助办法的通知》（佛府办〔2015〕69号）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《佛山市人民政府关于扶持旅游文化创意产业发展的意见》（佛府〔2015〕70号）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《佛山市人民政府办公室关于印发佛山市促进知识产权服务业集聚发展资助试行办法的通知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（佛府办〔2016〕12号）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《佛山市人民政府办公室关于进一步加大博士后工作扶持力度的意见》（佛府办〔2016〕13号）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《佛山市人民政府办公室关于印发佛山市扶持新型研发机构发展试行办法的通知》（佛府办〔2016〕18号</w:t>
      </w:r>
      <w:r>
        <w:rPr>
          <w:rFonts w:hint="eastAsia" w:ascii="仿宋_GB2312" w:hAnsi="仿宋_GB2312" w:cs="仿宋_GB2312"/>
          <w:sz w:val="32"/>
          <w:szCs w:val="32"/>
          <w:lang w:val="en-US" w:eastAsia="zh-CN"/>
        </w:rPr>
        <w:t>）</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《佛山市人民政府办公室关于印发佛山市上市后备企业管理暂行办法的通知》（佛府办〔2016〕22号）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《佛山市人民政府办公室关于印发佛山市高端金融人才引进培育办法（试行）的通知》（佛府办〔2017〕11号）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《佛山市人民政府办公室关于佛山市政府采购支持中小微企业质押融资的实施意见》（佛府办〔2017〕30号）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《佛山市人民政府办公室关于印发佛山市食盐储备管理办法的通知》</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佛府办〔2018〕1号</w:t>
      </w:r>
      <w:r>
        <w:rPr>
          <w:rFonts w:hint="eastAsia" w:ascii="仿宋_GB2312" w:hAnsi="仿宋_GB2312" w:cs="仿宋_GB2312"/>
          <w:sz w:val="32"/>
          <w:szCs w:val="32"/>
          <w:lang w:val="en-US" w:eastAsia="zh-CN"/>
        </w:rPr>
        <w:t>）</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《佛山市人民政府办公室关于加强政策性小额贷款保证保险工作的通知》（佛府办〔2018〕13号）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《佛山市人民政府关于印发佛山市气瓶安全监管改革实施方案的通知》（佛府〔2018〕54号）</w:t>
      </w:r>
    </w:p>
    <w:p>
      <w:pPr>
        <w:pStyle w:val="2"/>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佛山市人民政府办公室关于印发</w:t>
      </w:r>
      <w:r>
        <w:rPr>
          <w:rFonts w:hint="eastAsia" w:ascii="仿宋_GB2312" w:hAnsi="仿宋_GB2312" w:eastAsia="仿宋_GB2312" w:cs="仿宋_GB2312"/>
          <w:sz w:val="32"/>
          <w:szCs w:val="32"/>
          <w:lang w:val="en-US" w:eastAsia="zh-CN"/>
        </w:rPr>
        <w:t>佛山市促进汽车市场消费升级若干措施（试行）</w:t>
      </w:r>
      <w:r>
        <w:rPr>
          <w:rFonts w:hint="eastAsia" w:ascii="仿宋_GB2312" w:hAnsi="仿宋_GB2312" w:cs="仿宋_GB2312"/>
          <w:sz w:val="32"/>
          <w:szCs w:val="32"/>
          <w:lang w:val="en-US" w:eastAsia="zh-CN"/>
        </w:rPr>
        <w:t>的通知</w:t>
      </w:r>
      <w:r>
        <w:rPr>
          <w:rFonts w:hint="eastAsia" w:ascii="仿宋_GB2312" w:hAnsi="仿宋_GB2312" w:eastAsia="仿宋_GB2312" w:cs="仿宋_GB2312"/>
          <w:sz w:val="32"/>
          <w:szCs w:val="32"/>
          <w:lang w:val="en-US" w:eastAsia="zh-CN"/>
        </w:rPr>
        <w:t>》（佛府办〔2020〕3号）</w:t>
      </w:r>
    </w:p>
    <w:sectPr>
      <w:pgSz w:w="11906" w:h="16838"/>
      <w:pgMar w:top="2098" w:right="1474" w:bottom="1984"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58491"/>
    <w:multiLevelType w:val="singleLevel"/>
    <w:tmpl w:val="60458491"/>
    <w:lvl w:ilvl="0" w:tentative="0">
      <w:start w:val="1"/>
      <w:numFmt w:val="chineseCounting"/>
      <w:suff w:val="nothing"/>
      <w:lvlText w:val="%1、"/>
      <w:lvlJc w:val="left"/>
      <w:pPr>
        <w:ind w:left="0" w:leftChars="0" w:firstLine="42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D12CD"/>
    <w:rsid w:val="020F04EA"/>
    <w:rsid w:val="070D450B"/>
    <w:rsid w:val="0AA178EB"/>
    <w:rsid w:val="0CC710B3"/>
    <w:rsid w:val="135F0ECC"/>
    <w:rsid w:val="27453A6F"/>
    <w:rsid w:val="2CBA577A"/>
    <w:rsid w:val="2D4D6859"/>
    <w:rsid w:val="4DD13EF8"/>
    <w:rsid w:val="4EA24EBD"/>
    <w:rsid w:val="51443352"/>
    <w:rsid w:val="53014501"/>
    <w:rsid w:val="5B9A0255"/>
    <w:rsid w:val="63CF3E3B"/>
    <w:rsid w:val="69114483"/>
    <w:rsid w:val="73FD7CF4"/>
    <w:rsid w:val="79561215"/>
    <w:rsid w:val="797B6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Plain Text"/>
    <w:basedOn w:val="3"/>
    <w:qFormat/>
    <w:uiPriority w:val="0"/>
    <w:rPr>
      <w:rFonts w:ascii="宋体" w:hAnsi="Courier New"/>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Times New Roman" w:hAnsi="Times New Roman" w:eastAsia="仿宋_GB2312" w:cs="Times New Roman"/>
      <w:kern w:val="2"/>
      <w:sz w:val="30"/>
      <w:szCs w:val="24"/>
      <w:lang w:val="en-US" w:eastAsia="zh-CN"/>
    </w:rPr>
  </w:style>
  <w:style w:type="paragraph" w:customStyle="1" w:styleId="6">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 New"/>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fontstyle01"/>
    <w:basedOn w:val="4"/>
    <w:qFormat/>
    <w:uiPriority w:val="0"/>
    <w:rPr>
      <w:rFonts w:ascii="仿宋_GB2312" w:eastAsia="仿宋_GB2312" w:cs="仿宋_GB2312"/>
      <w:color w:val="000000"/>
      <w:sz w:val="32"/>
      <w:szCs w:val="32"/>
    </w:rPr>
  </w:style>
  <w:style w:type="paragraph" w:customStyle="1" w:styleId="9">
    <w:name w:val="_Style 5"/>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何敬</cp:lastModifiedBy>
  <dcterms:modified xsi:type="dcterms:W3CDTF">2021-03-26T07:11:59Z</dcterms:modified>
  <dc:title>佛山市人民政府关于废止部分市政府规范性</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